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9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961"/>
      </w:tblGrid>
      <w:tr>
        <w:trPr>
          <w:trHeight w:val="1984" w:hRule="atLeast"/>
        </w:trPr>
        <w:tc>
          <w:tcPr>
            <w:tcW w:w="4961" w:type="dxa"/>
            <w:tcBorders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eastAsia="Times New Roman" w:cs="Times New Roman"/>
                <w:b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</w:rPr>
              <w:t xml:space="preserve">                           </w:t>
            </w: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</w:rPr>
              <w:t>Утверждено</w:t>
            </w:r>
          </w:p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Решением общего собрания членов       ТСН  «Горелый Хутор»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20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961" w:type="dxa"/>
            <w:tcBorders/>
          </w:tcPr>
          <w:p>
            <w:pPr>
              <w:pStyle w:val="Normal"/>
              <w:spacing w:lineRule="atLeast" w:line="10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 «____» __________2025 г.</w:t>
            </w:r>
          </w:p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tLeast" w:line="100" w:before="0" w:after="0"/>
        <w:jc w:val="center"/>
        <w:rPr>
          <w:rFonts w:ascii="Times New Roman" w:hAnsi="Times New Roman" w:eastAsia="Times New Roman" w:cs="Times New Roman"/>
          <w:b/>
          <w:sz w:val="36"/>
          <w:szCs w:val="36"/>
        </w:rPr>
      </w:pPr>
      <w:r>
        <w:rPr>
          <w:rFonts w:eastAsia="Times New Roman" w:cs="Times New Roman" w:ascii="Times New Roman" w:hAnsi="Times New Roman"/>
          <w:b/>
          <w:sz w:val="36"/>
          <w:szCs w:val="36"/>
        </w:rPr>
        <w:t>Смета</w:t>
      </w:r>
    </w:p>
    <w:p>
      <w:pPr>
        <w:pStyle w:val="Normal"/>
        <w:spacing w:lineRule="atLeast" w:line="100" w:before="0" w:after="0"/>
        <w:jc w:val="center"/>
        <w:rPr>
          <w:rFonts w:ascii="Arial" w:hAnsi="Arial" w:eastAsia="Times New Roman" w:cs="Arial"/>
          <w:sz w:val="32"/>
          <w:szCs w:val="32"/>
        </w:rPr>
      </w:pPr>
      <w:r>
        <w:rPr>
          <w:rFonts w:eastAsia="Times New Roman" w:cs="Arial" w:ascii="Arial" w:hAnsi="Arial"/>
          <w:sz w:val="32"/>
          <w:szCs w:val="32"/>
        </w:rPr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Доходов и расходов ТСН «Горелый хутор»   </w:t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на 2026 финансовый год. </w:t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Средства ТСН по состоянию на 01.01.2025 г. составляют:</w:t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остаток денежных средств – 564 631.79   рублей;</w:t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Количество членов ТСН – 76.</w:t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</w:rPr>
        <w:t>Не членов ТСН -256</w:t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Не пользуются системой водообеспечения  ТСН - 75</w:t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</w:t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  </w:t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Доходные источники ТСН «Горелый хутор» на 202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6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финансовый год: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1.1. Содержание общего имущества и мест общего пользования ТСН «Горелый хутор»       - 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1654 </w:t>
      </w:r>
      <w:r>
        <w:rPr>
          <w:rFonts w:eastAsia="Times New Roman" w:cs="Times New Roman" w:ascii="Times New Roman" w:hAnsi="Times New Roman"/>
          <w:sz w:val="28"/>
          <w:szCs w:val="28"/>
        </w:rPr>
        <w:t>руб. мес., в том числе: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 содержание системы водоснабжения (стоимость электроэнергии, устранение неисправностей) – 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524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руб. мес.;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 уборка снега –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251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 руб. мес.;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содержание системы газоснабжения, электрических сетей,принадлежащих ТСН –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138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 руб.мес.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-у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правление делами и общим имуществом ТСН  -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663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руб. мес. 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 создание резервного фонда   -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 78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руб. мес. 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1.2. Взносы на содержание и обслуживание общего имущества членам и не членам Товарищества,  не пользующимися сетями водоснабжения  ТСН                руб. мес.;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1130 руб.мес</w:t>
      </w:r>
      <w:r>
        <w:rPr>
          <w:rFonts w:eastAsia="Times New Roman" w:cs="Times New Roman" w:ascii="Times New Roman" w:hAnsi="Times New Roman"/>
          <w:sz w:val="28"/>
          <w:szCs w:val="28"/>
        </w:rPr>
        <w:tab/>
        <w:tab/>
        <w:t xml:space="preserve"> 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  Плата за подключение к элементам общей  инфраструктуры, каждым домовладением, в том числе: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 к водопроводным сетям –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300000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руб.; 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 газовым –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150000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руб.; 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 электрическим сетям –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50000 </w:t>
      </w:r>
      <w:r>
        <w:rPr>
          <w:rFonts w:eastAsia="Times New Roman" w:cs="Times New Roman" w:ascii="Times New Roman" w:hAnsi="Times New Roman"/>
          <w:sz w:val="28"/>
          <w:szCs w:val="28"/>
        </w:rPr>
        <w:t>руб.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Средства направляются исключительно на создание фонда развития ТСН (капитальное строительство, развитие сетей, ввод объектов в эксплуатацию).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Доходы ТСН «Горелый хутор»: 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(в тыс. руб.)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7"/>
        <w:tblpPr w:vertAnchor="text" w:horzAnchor="text" w:leftFromText="180" w:rightFromText="180" w:tblpX="0" w:tblpY="126"/>
        <w:tblW w:w="974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2"/>
        <w:gridCol w:w="926"/>
        <w:gridCol w:w="3810"/>
        <w:gridCol w:w="1616"/>
        <w:gridCol w:w="1418"/>
        <w:gridCol w:w="1384"/>
      </w:tblGrid>
      <w:tr>
        <w:trPr/>
        <w:tc>
          <w:tcPr>
            <w:tcW w:w="5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п.п.</w:t>
            </w:r>
          </w:p>
        </w:tc>
        <w:tc>
          <w:tcPr>
            <w:tcW w:w="9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Коды статей устава ТСН</w:t>
            </w:r>
          </w:p>
        </w:tc>
        <w:tc>
          <w:tcPr>
            <w:tcW w:w="38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Статьи доходов</w:t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Исполнение 2024 г.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Ожидание исполнение на 31.12.2025 г.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План на 2026г.</w:t>
            </w:r>
          </w:p>
        </w:tc>
      </w:tr>
      <w:tr>
        <w:trPr/>
        <w:tc>
          <w:tcPr>
            <w:tcW w:w="5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426" w:left="-249"/>
              <w:jc w:val="both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8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Остаток неиспользованных  денежных средств на начало периода</w:t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1195.405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426" w:left="-249"/>
              <w:jc w:val="both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5.2</w:t>
            </w:r>
          </w:p>
        </w:tc>
        <w:tc>
          <w:tcPr>
            <w:tcW w:w="38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Всего доходов, в том числе:</w:t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4495.752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6124.964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7750.0</w:t>
            </w:r>
          </w:p>
        </w:tc>
      </w:tr>
      <w:tr>
        <w:trPr/>
        <w:tc>
          <w:tcPr>
            <w:tcW w:w="5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9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249"/>
              <w:jc w:val="both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55.2.1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8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Взносы на содержание общего имущества и мест общего пользования ТСН</w:t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3415.604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4698.0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6118.236</w:t>
            </w:r>
          </w:p>
        </w:tc>
      </w:tr>
      <w:tr>
        <w:trPr/>
        <w:tc>
          <w:tcPr>
            <w:tcW w:w="5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8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426" w:left="-249"/>
              <w:jc w:val="both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8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9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5.2.2</w:t>
            </w:r>
          </w:p>
        </w:tc>
        <w:tc>
          <w:tcPr>
            <w:tcW w:w="3810" w:type="dxa"/>
            <w:tcBorders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Обязательные платежи за подключение и пользование элементами общей инфраструктуры, каждым домовладением, в том числе: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426" w:left="-249"/>
              <w:jc w:val="both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810" w:type="dxa"/>
            <w:tcBorders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к водопроводным сетям –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426" w:left="-249"/>
              <w:jc w:val="both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810" w:type="dxa"/>
            <w:tcBorders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к газовым сетям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426" w:left="-249"/>
              <w:jc w:val="both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810" w:type="dxa"/>
            <w:tcBorders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к электрическим сетям</w:t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100.0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426" w:left="-249"/>
              <w:jc w:val="both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8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9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5.2.5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8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Доходы  от хозяйственной деятельности Товарищества, направленных на осуществление целей, задач и выполнение обязанностей Товарищества.</w:t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89.52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40.0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44.8</w:t>
            </w:r>
          </w:p>
        </w:tc>
      </w:tr>
      <w:tr>
        <w:trPr/>
        <w:tc>
          <w:tcPr>
            <w:tcW w:w="5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9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5.2.6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8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Поступления доходов от взыскания долгов за прошлые периоды</w:t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1050.733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1300.0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1500.0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9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5.2.6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8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Прочие  поступления, в том числе:</w:t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25.289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86.964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86.964</w:t>
            </w:r>
          </w:p>
        </w:tc>
      </w:tr>
      <w:tr>
        <w:trPr/>
        <w:tc>
          <w:tcPr>
            <w:tcW w:w="5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426" w:left="-249"/>
              <w:jc w:val="both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810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По суду от Кабаева Г.А.</w:t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25.289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86.964</w:t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86. 964</w:t>
            </w:r>
          </w:p>
        </w:tc>
      </w:tr>
      <w:tr>
        <w:trPr/>
        <w:tc>
          <w:tcPr>
            <w:tcW w:w="5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426" w:left="-249"/>
              <w:jc w:val="both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810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426" w:left="-249"/>
              <w:jc w:val="both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8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Расходы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 ТСН «Горелый хутор»:</w:t>
      </w:r>
      <w:r>
        <w:rPr>
          <w:rFonts w:cs="Times New Roman" w:ascii="Times New Roman" w:hAnsi="Times New Roman"/>
          <w:b/>
          <w:sz w:val="32"/>
          <w:szCs w:val="32"/>
        </w:rPr>
        <w:t xml:space="preserve"> </w:t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(в тыс. руб.)</w:t>
      </w:r>
    </w:p>
    <w:tbl>
      <w:tblPr>
        <w:tblStyle w:val="a7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64"/>
        <w:gridCol w:w="4498"/>
        <w:gridCol w:w="1658"/>
        <w:gridCol w:w="1475"/>
        <w:gridCol w:w="1176"/>
      </w:tblGrid>
      <w:tr>
        <w:trPr/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п.п.</w:t>
            </w:r>
          </w:p>
        </w:tc>
        <w:tc>
          <w:tcPr>
            <w:tcW w:w="44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Статья расходов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Исполнение 2024 г.</w:t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Ожидание исполнение на 31.12.2025г.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План на 2026 г.</w:t>
            </w:r>
          </w:p>
        </w:tc>
      </w:tr>
      <w:tr>
        <w:trPr/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4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Всего расходов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5126.525</w:t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7440.0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7750.0</w:t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eastAsia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en-US" w:eastAsia="ru-RU" w:bidi="ar-SA"/>
              </w:rPr>
              <w:t>I</w:t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eastAsia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Текущее содержание коммуникаций поселка, в том числе: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2611.391</w:t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3845.0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4510.0</w:t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Текущее содержание подъездных путей и внутрипоселковых дорог, в том числе: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3376.0</w:t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925.0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1000.0</w:t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Текущий ремонт (ямочный)  дорожного покрытия, засыпка щебнем и грейдерование  дорог общего пользования.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500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500.0</w:t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1.2</w:t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Уборка снега и вывоз мусора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337.6</w:t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425.0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500.0</w:t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b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b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Содержание системы водоснабжния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, в том числе: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1230.6</w:t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1950.0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1970.0</w:t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2.1.</w:t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Оплата за потребленную электроэнергию  ( на водоснабжение)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880.204</w:t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970.0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970.0</w:t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2.2.</w:t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Текущий ремонт системы водоснабжения:   водонапорная башня, 4 скважины, разводные колодца (материальные затраты).Замена насосов в скважинах,их ремонт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340.396</w:t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600.0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600.0</w:t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2.3.</w:t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Содержание пожарных гидрантов (оплата труда  по договорам ГПХ, материальные затраты).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150.0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150.0</w:t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2.4</w:t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Ремонт,  содержание ограждений  территорий водонапорной башни, водных скважин, (оплата труда  по договорам ГПХ, материальные затраты).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30.0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50.0</w:t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2.5</w:t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Устройство видеонаблюдения внутри поселка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10.0</w:t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200.0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200.0</w:t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Капитальный и текущий ремонт, содержание сетей газоснабжения, собственности ЖСК, в том числе: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200.0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200.0</w:t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3.1</w:t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Работы по капитальному ремонту системы газообеспечения.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200.0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500.0</w:t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Текущее содержание, ремонт  прочих объектов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, в том числе: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598.686</w:t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205..0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470.0</w:t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4.1</w:t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Эксплуатация здания правления (эл. энергия)+ (оплата труда  по договорам ГПХ, материальные затраты).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20.0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20,0</w:t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4.2</w:t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Обустройство детской  площадки Содержание общественной территории (оплата труда  по договорам ГПХ, материальные затраты).з.п.дворника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598.686</w:t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100.0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400.0</w:t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4.3</w:t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Электросети, уличное освещение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50.0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50.0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первостепенные расходы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, в том числе: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444.505</w:t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495.0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570.0</w:t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5.1</w:t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Налоги на имущество, воду и т.д.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41.817</w:t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45.0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50,0</w:t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5.2</w:t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Юридические услуги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 (оплата труда  по договорам ГПХ, судебные издержки по искам ЖСК (ТСН), госпошлина.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424.566</w:t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450.0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520,0</w:t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b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en-US" w:eastAsia="ru-RU" w:bidi="ar-SA"/>
              </w:rPr>
              <w:t>II</w:t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eastAsia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Управленческие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расходы, в том числе: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2132.0</w:t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2595.0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2640.0</w:t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Фонд оплаты труда (штатного персонала)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965.285</w:t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1260.0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1260</w:t>
            </w:r>
          </w:p>
        </w:tc>
      </w:tr>
      <w:tr>
        <w:trPr>
          <w:trHeight w:val="419" w:hRule="atLeast"/>
        </w:trPr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Начисления на ФОТ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567.342</w:t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630.0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630.0</w:t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Содержание расчетного счета в банке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39.797</w:t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65.0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65,0</w:t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Бухгалтерское обслуживание, по договору текущего оказания услуг.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208.5</w:t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350.0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400,0</w:t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Возмещение расходов на связь, телефон, интернет, рассылки.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23.746</w:t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40.0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40.0</w:t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Транспортные расходы на служебные цели( ГСМ, ТО)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70.690</w:t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100.0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120,0</w:t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Информационно техническое сопровождение. Поддержание работы сайта.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41.440</w:t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75.0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75,0</w:t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Канцтовары, заправка картриджей. Оснащение правления оргтехникой, почтовые расходы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60.054</w:t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,75.0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50.0</w:t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rFonts w:eastAsia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111</w:t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b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Прочие расходы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325.734</w:t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500.0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300.0</w:t>
            </w:r>
          </w:p>
        </w:tc>
      </w:tr>
      <w:tr>
        <w:trPr/>
        <w:tc>
          <w:tcPr>
            <w:tcW w:w="764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right"/>
              <w:rPr>
                <w:b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1</w:t>
            </w: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en-US" w:eastAsia="ru-RU" w:bidi="ar-SA"/>
              </w:rPr>
              <w:t>V</w:t>
            </w:r>
          </w:p>
        </w:tc>
        <w:tc>
          <w:tcPr>
            <w:tcW w:w="4498" w:type="dxa"/>
            <w:tcBorders/>
            <w:vAlign w:val="bottom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Резервный фонд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242.139</w:t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500.0</w:t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300,0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Смета принята на заседании правления ТСН « ГХ»                                  2025</w:t>
      </w:r>
      <w:bookmarkStart w:id="0" w:name="_GoBack"/>
      <w:bookmarkEnd w:id="0"/>
      <w:r>
        <w:rPr/>
        <w:t xml:space="preserve"> г..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Председатель   правления                                                      Жижин В.К.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f61160"/>
    <w:rPr/>
  </w:style>
  <w:style w:type="character" w:styleId="Style15" w:customStyle="1">
    <w:name w:val="Нижний колонтитул Знак"/>
    <w:basedOn w:val="DefaultParagraphFont"/>
    <w:uiPriority w:val="99"/>
    <w:qFormat/>
    <w:rsid w:val="00f61160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8733ce"/>
    <w:rPr>
      <w:rFonts w:ascii="Segoe UI" w:hAnsi="Segoe UI" w:cs="Segoe UI"/>
      <w:sz w:val="18"/>
      <w:szCs w:val="18"/>
    </w:rPr>
  </w:style>
  <w:style w:type="character" w:styleId="LineNumber">
    <w:name w:val="line number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f6116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f6116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61160"/>
    <w:pPr>
      <w:suppressAutoHyphens w:val="true"/>
      <w:spacing w:before="0" w:after="200"/>
      <w:ind w:left="720"/>
      <w:contextualSpacing/>
    </w:pPr>
    <w:rPr>
      <w:rFonts w:ascii="Calibri" w:hAnsi="Calibri" w:eastAsia="SimSun" w:cs="Calibri"/>
      <w:color w:val="00000A"/>
      <w:kern w:val="2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8733c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>
    <w:name w:val="Содержимое врезки"/>
    <w:basedOn w:val="Normal"/>
    <w:qFormat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61160"/>
    <w:pPr>
      <w:spacing w:after="0" w:line="240" w:lineRule="auto"/>
    </w:pPr>
    <w:rPr>
      <w:sz w:val="28"/>
      <w:szCs w:val="28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5F02E-64B6-4CB5-8785-D8654064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LibreOffice/25.2.2.2$Windows_X86_64 LibreOffice_project/7370d4be9e3cf6031a51beef54ff3bda878e3fac</Application>
  <AppVersion>15.0000</AppVersion>
  <Pages>4</Pages>
  <Words>711</Words>
  <Characters>4357</Characters>
  <CharactersWithSpaces>5289</CharactersWithSpaces>
  <Paragraphs>234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2001-12-31T22:06:00Z</dcterms:created>
  <dc:creator>1</dc:creator>
  <dc:description/>
  <dc:language>ru-RU</dc:language>
  <cp:lastModifiedBy/>
  <cp:lastPrinted>2019-09-10T14:46:00Z</cp:lastPrinted>
  <dcterms:modified xsi:type="dcterms:W3CDTF">2025-05-16T20:15:50Z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